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988" w:rsidRPr="00334C63" w:rsidRDefault="00E73988" w:rsidP="00B80990">
      <w:pPr>
        <w:jc w:val="center"/>
        <w:rPr>
          <w:rFonts w:ascii="Verdana" w:hAnsi="Verdana"/>
        </w:rPr>
      </w:pPr>
      <w:bookmarkStart w:id="0" w:name="_GoBack"/>
      <w:bookmarkEnd w:id="0"/>
    </w:p>
    <w:p w:rsidR="00AC3F50" w:rsidRPr="003458C9" w:rsidRDefault="00AC3F50" w:rsidP="00AC3F50">
      <w:pPr>
        <w:spacing w:before="240" w:after="240"/>
        <w:jc w:val="center"/>
        <w:rPr>
          <w:rFonts w:ascii="Verdana" w:hAnsi="Verdana"/>
          <w:b/>
          <w:sz w:val="26"/>
          <w:szCs w:val="26"/>
          <w:u w:val="single"/>
        </w:rPr>
      </w:pPr>
      <w:r w:rsidRPr="003458C9">
        <w:rPr>
          <w:rFonts w:ascii="Verdana" w:hAnsi="Verdana"/>
          <w:b/>
          <w:sz w:val="26"/>
          <w:szCs w:val="26"/>
          <w:u w:val="single"/>
        </w:rPr>
        <w:t xml:space="preserve">ACÓRDÃO </w:t>
      </w:r>
      <w:r w:rsidR="00E55264" w:rsidRPr="003458C9">
        <w:rPr>
          <w:rFonts w:ascii="Verdana" w:hAnsi="Verdana"/>
          <w:b/>
          <w:sz w:val="26"/>
          <w:szCs w:val="26"/>
          <w:u w:val="single"/>
        </w:rPr>
        <w:t>N</w:t>
      </w:r>
      <w:r w:rsidR="003458C9" w:rsidRPr="003458C9">
        <w:rPr>
          <w:rFonts w:ascii="Verdana" w:hAnsi="Verdana"/>
          <w:b/>
          <w:sz w:val="26"/>
          <w:szCs w:val="26"/>
          <w:u w:val="single"/>
        </w:rPr>
        <w:t>º 02</w:t>
      </w:r>
      <w:r w:rsidR="009273EF" w:rsidRPr="003458C9">
        <w:rPr>
          <w:rFonts w:ascii="Verdana" w:hAnsi="Verdana"/>
          <w:b/>
          <w:sz w:val="26"/>
          <w:szCs w:val="26"/>
          <w:u w:val="single"/>
        </w:rPr>
        <w:t>/2014</w:t>
      </w:r>
    </w:p>
    <w:p w:rsidR="006339C6" w:rsidRPr="003458C9" w:rsidRDefault="006339C6" w:rsidP="00693216">
      <w:pPr>
        <w:spacing w:before="240" w:after="240"/>
        <w:ind w:left="3119"/>
        <w:jc w:val="both"/>
        <w:rPr>
          <w:rFonts w:ascii="Verdana" w:hAnsi="Verdana"/>
          <w:b/>
        </w:rPr>
      </w:pPr>
    </w:p>
    <w:p w:rsidR="00FD4357" w:rsidRPr="003458C9" w:rsidRDefault="009273EF" w:rsidP="00334C63">
      <w:pPr>
        <w:spacing w:before="240" w:after="240"/>
        <w:ind w:left="3119"/>
        <w:jc w:val="both"/>
        <w:rPr>
          <w:rFonts w:ascii="Verdana" w:hAnsi="Verdana" w:cs="Courier New"/>
          <w:bCs/>
          <w:i/>
          <w:caps/>
        </w:rPr>
      </w:pPr>
      <w:r w:rsidRPr="003458C9">
        <w:rPr>
          <w:rFonts w:ascii="Verdana" w:hAnsi="Verdana" w:cs="Courier New"/>
          <w:b/>
          <w:bCs/>
          <w:i/>
        </w:rPr>
        <w:t xml:space="preserve">INOCORRÊNCIA DE RESCISÃO AUTOMÁTICA DE CONTRATO DE TRABALHO EM RAZÃO DE APOSENTADORIA DO EMPREGADO PELO REGIME GERAL DA PREVIDÊNCIA SOCIAL, </w:t>
      </w:r>
      <w:r w:rsidR="007455E5" w:rsidRPr="003458C9">
        <w:rPr>
          <w:rFonts w:ascii="Verdana" w:hAnsi="Verdana" w:cs="Courier New"/>
          <w:b/>
          <w:bCs/>
          <w:i/>
        </w:rPr>
        <w:t>INCLUSIVE PARA A SITUAÇÃO DOS</w:t>
      </w:r>
      <w:r w:rsidRPr="003458C9">
        <w:rPr>
          <w:rFonts w:ascii="Verdana" w:hAnsi="Verdana" w:cs="Courier New"/>
          <w:b/>
          <w:bCs/>
          <w:i/>
        </w:rPr>
        <w:t xml:space="preserve"> </w:t>
      </w:r>
      <w:r w:rsidR="003458C9" w:rsidRPr="003458C9">
        <w:rPr>
          <w:rFonts w:ascii="Verdana" w:hAnsi="Verdana" w:cs="Courier New"/>
          <w:b/>
          <w:bCs/>
          <w:i/>
        </w:rPr>
        <w:t xml:space="preserve">SERVIDORES </w:t>
      </w:r>
      <w:r w:rsidRPr="003458C9">
        <w:rPr>
          <w:rFonts w:ascii="Verdana" w:hAnsi="Verdana" w:cs="Courier New"/>
          <w:b/>
          <w:bCs/>
          <w:i/>
        </w:rPr>
        <w:t>CONVERTIDOS AO REGIME ESTATUTÁRIO PELA LEI COMPLEMENTAR ESTADUAL Nº 187/2000.</w:t>
      </w:r>
      <w:r w:rsidR="003458C9" w:rsidRPr="003458C9">
        <w:rPr>
          <w:rFonts w:ascii="Verdana" w:hAnsi="Verdana" w:cs="Courier New"/>
          <w:b/>
          <w:bCs/>
          <w:i/>
        </w:rPr>
        <w:t xml:space="preserve"> </w:t>
      </w:r>
      <w:r w:rsidR="007455E5" w:rsidRPr="003458C9">
        <w:rPr>
          <w:rFonts w:ascii="Verdana" w:hAnsi="Verdana" w:cs="Courier New"/>
          <w:b/>
          <w:bCs/>
          <w:i/>
        </w:rPr>
        <w:t>A</w:t>
      </w:r>
      <w:r w:rsidRPr="003458C9">
        <w:rPr>
          <w:rFonts w:ascii="Verdana" w:hAnsi="Verdana" w:cs="Courier New"/>
          <w:b/>
          <w:bCs/>
          <w:i/>
        </w:rPr>
        <w:t xml:space="preserve"> VEDAÇÃO CONSTITUCIONAL DA CUMULAÇÃO DE PROVENTOS E REMUNERAÇÃO </w:t>
      </w:r>
      <w:r w:rsidR="007455E5" w:rsidRPr="003458C9">
        <w:rPr>
          <w:rFonts w:ascii="Verdana" w:hAnsi="Verdana" w:cs="Courier New"/>
          <w:b/>
          <w:bCs/>
          <w:i/>
        </w:rPr>
        <w:t>INCIDE NOS CASOS EM QUE HÁ A UNICIDADE DA FONTE DE CUSTEIO</w:t>
      </w:r>
      <w:r w:rsidR="00B84330" w:rsidRPr="003458C9">
        <w:rPr>
          <w:rFonts w:ascii="Verdana" w:hAnsi="Verdana" w:cs="Courier New"/>
          <w:b/>
          <w:bCs/>
          <w:i/>
        </w:rPr>
        <w:t>.</w:t>
      </w:r>
      <w:r w:rsidR="007455E5" w:rsidRPr="003458C9">
        <w:rPr>
          <w:rFonts w:ascii="Verdana" w:hAnsi="Verdana" w:cs="Courier New"/>
          <w:b/>
          <w:bCs/>
          <w:i/>
        </w:rPr>
        <w:t xml:space="preserve"> </w:t>
      </w:r>
      <w:r w:rsidR="003458C9" w:rsidRPr="003458C9">
        <w:rPr>
          <w:rFonts w:ascii="Verdana" w:hAnsi="Verdana" w:cs="Courier New"/>
          <w:b/>
          <w:bCs/>
          <w:i/>
        </w:rPr>
        <w:t xml:space="preserve">JURISPRUDÊNCIA. </w:t>
      </w:r>
      <w:r w:rsidR="007455E5" w:rsidRPr="003458C9">
        <w:rPr>
          <w:rFonts w:ascii="Verdana" w:hAnsi="Verdana" w:cs="Courier New"/>
          <w:b/>
          <w:bCs/>
          <w:i/>
        </w:rPr>
        <w:t xml:space="preserve">O CÔMPUTO DO TEMPO DE SERVIÇO NO REGIME GERAL NÃO PODE SER APROVEITADO TAMBÉM PARA O REGIME PRÓPRIO DE PREVIDÊNCIA/ES. </w:t>
      </w:r>
    </w:p>
    <w:p w:rsidR="009273EF" w:rsidRPr="003458C9" w:rsidRDefault="009273EF" w:rsidP="009273EF">
      <w:pPr>
        <w:spacing w:before="120" w:after="240"/>
        <w:ind w:left="1134"/>
        <w:jc w:val="both"/>
        <w:rPr>
          <w:rFonts w:ascii="Verdana" w:hAnsi="Verdana"/>
          <w:i/>
          <w:sz w:val="24"/>
          <w:szCs w:val="24"/>
        </w:rPr>
      </w:pPr>
      <w:r w:rsidRPr="003458C9">
        <w:rPr>
          <w:rFonts w:ascii="Verdana" w:hAnsi="Verdana"/>
          <w:i/>
          <w:sz w:val="24"/>
          <w:szCs w:val="24"/>
        </w:rPr>
        <w:t xml:space="preserve">1) A aposentadoria espontânea pelo Regime Geral da Previdência Social não extingue o contrato de trabalho do empregado, sendo-lhe asseguradas as indenizações trabalhistas no caso de rescisão imotivada pelo empregador. </w:t>
      </w:r>
    </w:p>
    <w:p w:rsidR="009273EF" w:rsidRPr="003458C9" w:rsidRDefault="009273EF" w:rsidP="009273EF">
      <w:pPr>
        <w:ind w:left="1134"/>
        <w:jc w:val="both"/>
        <w:rPr>
          <w:rFonts w:ascii="Verdana" w:hAnsi="Verdana"/>
          <w:i/>
          <w:sz w:val="24"/>
          <w:szCs w:val="24"/>
        </w:rPr>
      </w:pPr>
      <w:r w:rsidRPr="003458C9">
        <w:rPr>
          <w:rFonts w:ascii="Verdana" w:hAnsi="Verdana"/>
          <w:i/>
          <w:sz w:val="24"/>
          <w:szCs w:val="24"/>
        </w:rPr>
        <w:t>2) A aposentadoria espontânea pelo Regime Geral da Previdência Social, ocorrida a qualquer tempo, não extingue o vínculo dos servidores públicos estaduais estatutários, mesmo os convertidos pela Lei Complementar Estadual nº 187/2000.</w:t>
      </w:r>
    </w:p>
    <w:p w:rsidR="009273EF" w:rsidRPr="003458C9" w:rsidRDefault="009273EF" w:rsidP="009273EF">
      <w:pPr>
        <w:spacing w:before="120" w:after="240"/>
        <w:ind w:left="1134"/>
        <w:jc w:val="both"/>
        <w:rPr>
          <w:rFonts w:ascii="Verdana" w:hAnsi="Verdana"/>
          <w:i/>
          <w:sz w:val="24"/>
          <w:szCs w:val="24"/>
        </w:rPr>
      </w:pPr>
      <w:r w:rsidRPr="003458C9">
        <w:rPr>
          <w:rFonts w:ascii="Verdana" w:hAnsi="Verdana"/>
          <w:i/>
          <w:sz w:val="24"/>
          <w:szCs w:val="24"/>
        </w:rPr>
        <w:t xml:space="preserve">3) O § 10 do art. 37 da Constituição da República veda apenas a acumulação da remuneração de cargo, emprego ou função pública com os proventos das aposentadorias decorrentes dos arts. 40, 42 ou 142 da Constituição da República, ou seja, de regimes previdenciários especiais (servidores estatutários, magistrados, membros das polícias militares e corpos de bombeiros militares e membros das forças armadas). </w:t>
      </w:r>
    </w:p>
    <w:p w:rsidR="009273EF" w:rsidRPr="003458C9" w:rsidRDefault="009273EF" w:rsidP="009273EF">
      <w:pPr>
        <w:spacing w:before="120" w:after="240"/>
        <w:ind w:left="1134"/>
        <w:jc w:val="both"/>
        <w:rPr>
          <w:rFonts w:ascii="Verdana" w:hAnsi="Verdana"/>
          <w:i/>
          <w:sz w:val="24"/>
          <w:szCs w:val="24"/>
        </w:rPr>
      </w:pPr>
      <w:r w:rsidRPr="003458C9">
        <w:rPr>
          <w:rFonts w:ascii="Verdana" w:hAnsi="Verdana"/>
          <w:i/>
          <w:sz w:val="24"/>
          <w:szCs w:val="24"/>
        </w:rPr>
        <w:t xml:space="preserve">4) A vedação da acumulação de proventos de aposentadoria com a remuneração de cargo, emprego ou função pública de que cogitam os artigos 37, § 10, 40, 42 e 142 da Constituição Federal leva em consideração a unicidade das fontes dos proventos e da remuneração dos respectivos cargos, empregos ou funções públicas, não alcançando, portanto, as situações jurídicas em que a fonte de custeio dos proventos de </w:t>
      </w:r>
      <w:r w:rsidRPr="003458C9">
        <w:rPr>
          <w:rFonts w:ascii="Verdana" w:hAnsi="Verdana"/>
          <w:i/>
          <w:sz w:val="24"/>
          <w:szCs w:val="24"/>
        </w:rPr>
        <w:lastRenderedPageBreak/>
        <w:t>aposentadoria decorre do Regime Geral da Previdência Social e a remuneração, dos cofres públicos.</w:t>
      </w:r>
    </w:p>
    <w:p w:rsidR="009273EF" w:rsidRPr="003458C9" w:rsidRDefault="009273EF" w:rsidP="009273EF">
      <w:pPr>
        <w:spacing w:before="120" w:after="240"/>
        <w:ind w:left="1134"/>
        <w:jc w:val="both"/>
        <w:rPr>
          <w:rFonts w:ascii="Verdana" w:hAnsi="Verdana"/>
          <w:i/>
          <w:sz w:val="24"/>
          <w:szCs w:val="24"/>
        </w:rPr>
      </w:pPr>
      <w:r w:rsidRPr="003458C9">
        <w:rPr>
          <w:rFonts w:ascii="Verdana" w:hAnsi="Verdana"/>
          <w:i/>
          <w:sz w:val="24"/>
          <w:szCs w:val="24"/>
        </w:rPr>
        <w:t xml:space="preserve">5) O tempo de serviço utilizado para concessão da aposentadoria pelo Regime Geral da Previdência Social não pode ser computado para fins de concessão de aposentadoria no Regime Próprio de Previdência/ES, considerando-se, inclusive, o que disposto no art. 2º, § 2º, da LC nº 187/2000. </w:t>
      </w:r>
    </w:p>
    <w:p w:rsidR="009273EF" w:rsidRDefault="009273EF" w:rsidP="00AC039A">
      <w:pPr>
        <w:spacing w:line="360" w:lineRule="auto"/>
        <w:jc w:val="both"/>
        <w:rPr>
          <w:rFonts w:ascii="Verdana" w:hAnsi="Verdana"/>
        </w:rPr>
      </w:pPr>
    </w:p>
    <w:p w:rsidR="00693216" w:rsidRPr="003458C9" w:rsidRDefault="00AC3F50" w:rsidP="00AC039A">
      <w:pPr>
        <w:spacing w:line="360" w:lineRule="auto"/>
        <w:jc w:val="both"/>
        <w:rPr>
          <w:rFonts w:ascii="Verdana" w:hAnsi="Verdana"/>
          <w:sz w:val="24"/>
          <w:szCs w:val="24"/>
        </w:rPr>
      </w:pPr>
      <w:r w:rsidRPr="003458C9">
        <w:rPr>
          <w:rFonts w:ascii="Verdana" w:hAnsi="Verdana"/>
          <w:sz w:val="24"/>
          <w:szCs w:val="24"/>
        </w:rPr>
        <w:t xml:space="preserve">O </w:t>
      </w:r>
      <w:r w:rsidRPr="003458C9">
        <w:rPr>
          <w:rFonts w:ascii="Verdana" w:hAnsi="Verdana"/>
          <w:b/>
          <w:sz w:val="24"/>
          <w:szCs w:val="24"/>
        </w:rPr>
        <w:t>CONSELHO DA PROCURADORIA GERAL DO ESTADO</w:t>
      </w:r>
      <w:r w:rsidRPr="003458C9">
        <w:rPr>
          <w:rFonts w:ascii="Verdana" w:hAnsi="Verdana"/>
          <w:sz w:val="24"/>
          <w:szCs w:val="24"/>
        </w:rPr>
        <w:t xml:space="preserve">, em reunião realizada em </w:t>
      </w:r>
      <w:r w:rsidR="003458C9">
        <w:rPr>
          <w:rFonts w:ascii="Verdana" w:hAnsi="Verdana"/>
          <w:sz w:val="24"/>
          <w:szCs w:val="24"/>
        </w:rPr>
        <w:t xml:space="preserve">27 de maio de </w:t>
      </w:r>
      <w:r w:rsidR="00A826EB" w:rsidRPr="003458C9">
        <w:rPr>
          <w:rFonts w:ascii="Verdana" w:hAnsi="Verdana"/>
          <w:sz w:val="24"/>
          <w:szCs w:val="24"/>
        </w:rPr>
        <w:t>2014</w:t>
      </w:r>
      <w:r w:rsidRPr="003458C9">
        <w:rPr>
          <w:rFonts w:ascii="Verdana" w:hAnsi="Verdana"/>
          <w:sz w:val="24"/>
          <w:szCs w:val="24"/>
        </w:rPr>
        <w:t xml:space="preserve">, deliberou, por </w:t>
      </w:r>
      <w:r w:rsidR="003458C9" w:rsidRPr="003458C9">
        <w:rPr>
          <w:rFonts w:ascii="Verdana" w:hAnsi="Verdana"/>
          <w:sz w:val="24"/>
          <w:szCs w:val="24"/>
        </w:rPr>
        <w:t>unanimidade, aprovando o</w:t>
      </w:r>
      <w:r w:rsidR="003458C9" w:rsidRPr="003458C9">
        <w:rPr>
          <w:rFonts w:ascii="Verdana" w:hAnsi="Verdana"/>
          <w:bCs/>
          <w:sz w:val="24"/>
          <w:szCs w:val="24"/>
        </w:rPr>
        <w:t xml:space="preserve"> Voto do Conselheiro Relator Antônio Júlio Castiglione Neto, com os adendos do Voto-Vista do Conselheiro Leandro Mello Ferreira</w:t>
      </w:r>
      <w:r w:rsidR="003458C9" w:rsidRPr="003458C9">
        <w:rPr>
          <w:rFonts w:ascii="Verdana" w:hAnsi="Verdana"/>
          <w:sz w:val="24"/>
          <w:szCs w:val="24"/>
        </w:rPr>
        <w:t xml:space="preserve">, </w:t>
      </w:r>
      <w:r w:rsidR="00ED5EE3" w:rsidRPr="003458C9">
        <w:rPr>
          <w:rFonts w:ascii="Verdana" w:hAnsi="Verdana"/>
          <w:sz w:val="24"/>
          <w:szCs w:val="24"/>
        </w:rPr>
        <w:t xml:space="preserve">proferido nos autos do processo administrativo nº </w:t>
      </w:r>
      <w:r w:rsidR="007455E5" w:rsidRPr="003458C9">
        <w:rPr>
          <w:rFonts w:ascii="Verdana" w:hAnsi="Verdana"/>
          <w:b/>
          <w:bCs/>
          <w:sz w:val="24"/>
          <w:szCs w:val="24"/>
        </w:rPr>
        <w:t>45566542</w:t>
      </w:r>
      <w:r w:rsidR="00ED5EE3" w:rsidRPr="003458C9">
        <w:rPr>
          <w:rFonts w:ascii="Verdana" w:hAnsi="Verdana"/>
          <w:sz w:val="24"/>
          <w:szCs w:val="24"/>
        </w:rPr>
        <w:t>,</w:t>
      </w:r>
      <w:r w:rsidR="007455E5" w:rsidRPr="003458C9">
        <w:rPr>
          <w:rFonts w:ascii="Verdana" w:hAnsi="Verdana"/>
          <w:sz w:val="24"/>
          <w:szCs w:val="24"/>
        </w:rPr>
        <w:t xml:space="preserve"> </w:t>
      </w:r>
      <w:r w:rsidR="003458C9" w:rsidRPr="003458C9">
        <w:rPr>
          <w:rFonts w:ascii="Verdana" w:hAnsi="Verdana"/>
          <w:sz w:val="24"/>
          <w:szCs w:val="24"/>
        </w:rPr>
        <w:t xml:space="preserve">que também apreciou questões correlatas </w:t>
      </w:r>
      <w:r w:rsidR="00F50BA1">
        <w:rPr>
          <w:rFonts w:ascii="Verdana" w:hAnsi="Verdana"/>
          <w:sz w:val="24"/>
          <w:szCs w:val="24"/>
        </w:rPr>
        <w:t>referidas n</w:t>
      </w:r>
      <w:r w:rsidR="003458C9" w:rsidRPr="003458C9">
        <w:rPr>
          <w:rFonts w:ascii="Verdana" w:hAnsi="Verdana"/>
          <w:sz w:val="24"/>
          <w:szCs w:val="24"/>
        </w:rPr>
        <w:t xml:space="preserve">os processos administrativos nº </w:t>
      </w:r>
      <w:r w:rsidR="007455E5" w:rsidRPr="003458C9">
        <w:rPr>
          <w:rFonts w:ascii="Verdana" w:hAnsi="Verdana"/>
          <w:sz w:val="24"/>
          <w:szCs w:val="24"/>
        </w:rPr>
        <w:t xml:space="preserve">19252323, </w:t>
      </w:r>
      <w:r w:rsidR="003458C9" w:rsidRPr="003458C9">
        <w:rPr>
          <w:rFonts w:ascii="Verdana" w:hAnsi="Verdana"/>
          <w:sz w:val="24"/>
          <w:szCs w:val="24"/>
        </w:rPr>
        <w:t xml:space="preserve">nº </w:t>
      </w:r>
      <w:r w:rsidR="007455E5" w:rsidRPr="003458C9">
        <w:rPr>
          <w:rFonts w:ascii="Verdana" w:hAnsi="Verdana"/>
          <w:sz w:val="24"/>
          <w:szCs w:val="24"/>
        </w:rPr>
        <w:t>29028108</w:t>
      </w:r>
      <w:r w:rsidR="003458C9" w:rsidRPr="003458C9">
        <w:rPr>
          <w:rFonts w:ascii="Verdana" w:hAnsi="Verdana"/>
          <w:sz w:val="24"/>
          <w:szCs w:val="24"/>
        </w:rPr>
        <w:t xml:space="preserve"> e nº </w:t>
      </w:r>
      <w:r w:rsidR="007455E5" w:rsidRPr="003458C9">
        <w:rPr>
          <w:rFonts w:ascii="Verdana" w:hAnsi="Verdana"/>
          <w:sz w:val="24"/>
          <w:szCs w:val="24"/>
        </w:rPr>
        <w:t>07074956,</w:t>
      </w:r>
      <w:r w:rsidR="00ED5EE3" w:rsidRPr="003458C9">
        <w:rPr>
          <w:rFonts w:ascii="Verdana" w:hAnsi="Verdana"/>
          <w:sz w:val="24"/>
          <w:szCs w:val="24"/>
        </w:rPr>
        <w:t xml:space="preserve"> </w:t>
      </w:r>
      <w:r w:rsidR="003458C9" w:rsidRPr="003458C9">
        <w:rPr>
          <w:rFonts w:ascii="Verdana" w:hAnsi="Verdana"/>
          <w:sz w:val="24"/>
          <w:szCs w:val="24"/>
        </w:rPr>
        <w:t>apensados.</w:t>
      </w:r>
    </w:p>
    <w:p w:rsidR="00AC3F50" w:rsidRPr="00F50BA1" w:rsidRDefault="00AC3F50" w:rsidP="00AC3F50">
      <w:pPr>
        <w:spacing w:before="240" w:after="240"/>
        <w:jc w:val="right"/>
        <w:rPr>
          <w:rFonts w:ascii="Verdana" w:hAnsi="Verdana"/>
          <w:sz w:val="24"/>
          <w:szCs w:val="24"/>
        </w:rPr>
      </w:pPr>
      <w:r w:rsidRPr="00F50BA1">
        <w:rPr>
          <w:rFonts w:ascii="Verdana" w:hAnsi="Verdana"/>
          <w:sz w:val="24"/>
          <w:szCs w:val="24"/>
        </w:rPr>
        <w:t xml:space="preserve">Vitória, </w:t>
      </w:r>
      <w:r w:rsidR="00A826EB" w:rsidRPr="00F50BA1">
        <w:rPr>
          <w:rFonts w:ascii="Verdana" w:hAnsi="Verdana"/>
          <w:sz w:val="24"/>
          <w:szCs w:val="24"/>
        </w:rPr>
        <w:t xml:space="preserve">15 de </w:t>
      </w:r>
      <w:r w:rsidR="00F50BA1">
        <w:rPr>
          <w:rFonts w:ascii="Verdana" w:hAnsi="Verdana"/>
          <w:sz w:val="24"/>
          <w:szCs w:val="24"/>
        </w:rPr>
        <w:t>julho</w:t>
      </w:r>
      <w:r w:rsidRPr="00F50BA1">
        <w:rPr>
          <w:rFonts w:ascii="Verdana" w:hAnsi="Verdana"/>
          <w:sz w:val="24"/>
          <w:szCs w:val="24"/>
        </w:rPr>
        <w:t xml:space="preserve"> de 201</w:t>
      </w:r>
      <w:r w:rsidR="00A826EB" w:rsidRPr="00F50BA1">
        <w:rPr>
          <w:rFonts w:ascii="Verdana" w:hAnsi="Verdana"/>
          <w:sz w:val="24"/>
          <w:szCs w:val="24"/>
        </w:rPr>
        <w:t>4</w:t>
      </w:r>
      <w:r w:rsidRPr="00F50BA1">
        <w:rPr>
          <w:rFonts w:ascii="Verdana" w:hAnsi="Verdana"/>
          <w:sz w:val="24"/>
          <w:szCs w:val="24"/>
        </w:rPr>
        <w:t>.</w:t>
      </w:r>
    </w:p>
    <w:p w:rsidR="00F8679C" w:rsidRPr="00334C63" w:rsidRDefault="00F8679C" w:rsidP="00F50BA1">
      <w:pPr>
        <w:spacing w:before="240" w:after="240" w:line="480" w:lineRule="auto"/>
        <w:jc w:val="both"/>
        <w:rPr>
          <w:rFonts w:ascii="Verdana" w:hAnsi="Verdana"/>
        </w:rPr>
      </w:pPr>
    </w:p>
    <w:p w:rsidR="00AC3F50" w:rsidRPr="00334C63" w:rsidRDefault="00AC3F50" w:rsidP="00AC3F50">
      <w:pPr>
        <w:jc w:val="center"/>
        <w:rPr>
          <w:rFonts w:ascii="Verdana" w:hAnsi="Verdana"/>
          <w:b/>
        </w:rPr>
      </w:pPr>
      <w:r w:rsidRPr="00334C63">
        <w:rPr>
          <w:rFonts w:ascii="Verdana" w:hAnsi="Verdana"/>
          <w:b/>
        </w:rPr>
        <w:t>RODRIGO MARQUES DE ABREU JÚDICE</w:t>
      </w:r>
    </w:p>
    <w:p w:rsidR="00E73988" w:rsidRPr="00334C63" w:rsidRDefault="00AC3F50" w:rsidP="00AC3F50">
      <w:pPr>
        <w:jc w:val="center"/>
        <w:rPr>
          <w:rFonts w:ascii="Verdana" w:hAnsi="Verdana"/>
        </w:rPr>
      </w:pPr>
      <w:r w:rsidRPr="00334C63">
        <w:rPr>
          <w:rFonts w:ascii="Verdana" w:hAnsi="Verdana"/>
          <w:b/>
        </w:rPr>
        <w:t>Presidente do Conselho da PGE</w:t>
      </w:r>
    </w:p>
    <w:sectPr w:rsidR="00E73988" w:rsidRPr="00334C63" w:rsidSect="009F400E">
      <w:headerReference w:type="default" r:id="rId8"/>
      <w:footerReference w:type="default" r:id="rId9"/>
      <w:pgSz w:w="11907" w:h="16840" w:code="9"/>
      <w:pgMar w:top="797"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03" w:rsidRDefault="00252D03">
      <w:r>
        <w:separator/>
      </w:r>
    </w:p>
  </w:endnote>
  <w:endnote w:type="continuationSeparator" w:id="0">
    <w:p w:rsidR="00252D03" w:rsidRDefault="0025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30" w:rsidRPr="00A43C1C" w:rsidRDefault="00B84330" w:rsidP="009F400E">
    <w:pPr>
      <w:pStyle w:val="Rodap"/>
      <w:tabs>
        <w:tab w:val="left" w:pos="2385"/>
        <w:tab w:val="center" w:pos="4536"/>
      </w:tabs>
      <w:jc w:val="center"/>
      <w:rPr>
        <w:b/>
      </w:rPr>
    </w:pPr>
    <w:r>
      <w:rPr>
        <w:b/>
      </w:rPr>
      <w:t xml:space="preserve">Conselho da </w:t>
    </w:r>
    <w:r w:rsidRPr="00A43C1C">
      <w:rPr>
        <w:b/>
      </w:rPr>
      <w:t>Procuradoria Geral do Estado do Esp</w:t>
    </w:r>
    <w:r>
      <w:rPr>
        <w:b/>
      </w:rPr>
      <w:t>í</w:t>
    </w:r>
    <w:r w:rsidRPr="00A43C1C">
      <w:rPr>
        <w:b/>
      </w:rPr>
      <w:t>rito Santo</w:t>
    </w:r>
  </w:p>
  <w:p w:rsidR="00B84330" w:rsidRDefault="00B84330" w:rsidP="009F400E">
    <w:pPr>
      <w:pStyle w:val="Rodap"/>
      <w:jc w:val="center"/>
    </w:pPr>
    <w:r w:rsidRPr="00A43C1C">
      <w:t xml:space="preserve">Av. </w:t>
    </w:r>
    <w:r>
      <w:t>Nossa Senhora da Penha</w:t>
    </w:r>
    <w:r w:rsidRPr="00A43C1C">
      <w:t xml:space="preserve">, </w:t>
    </w:r>
    <w:r>
      <w:t>1590</w:t>
    </w:r>
    <w:r w:rsidRPr="00A43C1C">
      <w:t xml:space="preserve"> – </w:t>
    </w:r>
    <w:r>
      <w:t>13º</w:t>
    </w:r>
    <w:r w:rsidRPr="00A43C1C">
      <w:t xml:space="preserve"> andar – </w:t>
    </w:r>
    <w:r>
      <w:t>Barro Vermelho</w:t>
    </w:r>
    <w:r w:rsidRPr="00A43C1C">
      <w:t xml:space="preserve"> – Vitória – ES – Cep: 290</w:t>
    </w:r>
    <w:r>
      <w:t>57</w:t>
    </w:r>
    <w:r w:rsidRPr="00A43C1C">
      <w:t>-</w:t>
    </w:r>
    <w:r>
      <w:t>55</w:t>
    </w:r>
    <w:r w:rsidRPr="00A43C1C">
      <w:t>0</w:t>
    </w:r>
  </w:p>
  <w:p w:rsidR="00B84330" w:rsidRPr="00A43C1C" w:rsidRDefault="00B84330" w:rsidP="009F400E">
    <w:pPr>
      <w:pStyle w:val="Rodap"/>
      <w:jc w:val="center"/>
    </w:pPr>
    <w:r>
      <w:t>Fones: 3636.5050 – 3636.5091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03" w:rsidRDefault="00252D03">
      <w:r>
        <w:separator/>
      </w:r>
    </w:p>
  </w:footnote>
  <w:footnote w:type="continuationSeparator" w:id="0">
    <w:p w:rsidR="00252D03" w:rsidRDefault="00252D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330" w:rsidRPr="00C323A2" w:rsidRDefault="004E4DAC">
    <w:pPr>
      <w:pStyle w:val="Cabealho"/>
      <w:jc w:val="center"/>
      <w:rPr>
        <w:sz w:val="14"/>
      </w:rPr>
    </w:pPr>
    <w:r>
      <w:rPr>
        <w:noProof/>
        <w:sz w:val="22"/>
        <w:szCs w:val="22"/>
      </w:rPr>
      <w:drawing>
        <wp:inline distT="0" distB="0" distL="0" distR="0">
          <wp:extent cx="885825" cy="838200"/>
          <wp:effectExtent l="19050" t="0" r="9525" b="0"/>
          <wp:docPr id="1" name="Imagem 1" descr="Brasão%20Oficial%20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20Oficial%20PB"/>
                  <pic:cNvPicPr>
                    <a:picLocks noChangeAspect="1" noChangeArrowheads="1"/>
                  </pic:cNvPicPr>
                </pic:nvPicPr>
                <pic:blipFill>
                  <a:blip r:embed="rId1"/>
                  <a:srcRect/>
                  <a:stretch>
                    <a:fillRect/>
                  </a:stretch>
                </pic:blipFill>
                <pic:spPr bwMode="auto">
                  <a:xfrm>
                    <a:off x="0" y="0"/>
                    <a:ext cx="885825" cy="838200"/>
                  </a:xfrm>
                  <a:prstGeom prst="rect">
                    <a:avLst/>
                  </a:prstGeom>
                  <a:noFill/>
                  <a:ln w="9525">
                    <a:noFill/>
                    <a:miter lim="800000"/>
                    <a:headEnd/>
                    <a:tailEnd/>
                  </a:ln>
                </pic:spPr>
              </pic:pic>
            </a:graphicData>
          </a:graphic>
        </wp:inline>
      </w:drawing>
    </w:r>
  </w:p>
  <w:p w:rsidR="00B84330" w:rsidRDefault="00B84330">
    <w:pPr>
      <w:pStyle w:val="Cabealho"/>
      <w:jc w:val="center"/>
      <w:rPr>
        <w:b/>
        <w:sz w:val="24"/>
        <w:szCs w:val="24"/>
      </w:rPr>
    </w:pPr>
    <w:r w:rsidRPr="009F400E">
      <w:rPr>
        <w:b/>
        <w:sz w:val="24"/>
        <w:szCs w:val="24"/>
      </w:rPr>
      <w:t>GOVERNO DO ESTADO DO ESPÍRITO SANTO</w:t>
    </w:r>
  </w:p>
  <w:p w:rsidR="00B84330" w:rsidRDefault="00B84330" w:rsidP="00D47B79">
    <w:pPr>
      <w:pStyle w:val="Cabealho"/>
      <w:pBdr>
        <w:bottom w:val="single" w:sz="12" w:space="1" w:color="auto"/>
      </w:pBdr>
      <w:jc w:val="center"/>
      <w:rPr>
        <w:b/>
        <w:sz w:val="24"/>
        <w:szCs w:val="24"/>
      </w:rPr>
    </w:pPr>
    <w:r>
      <w:rPr>
        <w:b/>
        <w:sz w:val="24"/>
        <w:szCs w:val="24"/>
      </w:rPr>
      <w:t>CONSELHO DA PROCURADORIA GERAL DO ESTADO</w:t>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p>
  <w:p w:rsidR="00B84330" w:rsidRPr="009F400E" w:rsidRDefault="00B84330" w:rsidP="00D47B79">
    <w:pPr>
      <w:pStyle w:val="Cabealho"/>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81739"/>
    <w:multiLevelType w:val="hybridMultilevel"/>
    <w:tmpl w:val="FA6CC592"/>
    <w:lvl w:ilvl="0" w:tplc="737CD87E">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nsid w:val="26874805"/>
    <w:multiLevelType w:val="hybridMultilevel"/>
    <w:tmpl w:val="F64427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54F0402"/>
    <w:multiLevelType w:val="singleLevel"/>
    <w:tmpl w:val="0416000F"/>
    <w:lvl w:ilvl="0">
      <w:start w:val="1"/>
      <w:numFmt w:val="decimal"/>
      <w:lvlText w:val="%1."/>
      <w:lvlJc w:val="left"/>
      <w:pPr>
        <w:tabs>
          <w:tab w:val="num" w:pos="360"/>
        </w:tabs>
        <w:ind w:left="360" w:hanging="360"/>
      </w:pPr>
    </w:lvl>
  </w:abstractNum>
  <w:abstractNum w:abstractNumId="3">
    <w:nsid w:val="5593422E"/>
    <w:multiLevelType w:val="hybridMultilevel"/>
    <w:tmpl w:val="9AA8A964"/>
    <w:lvl w:ilvl="0" w:tplc="CFFECA8A">
      <w:start w:val="1"/>
      <w:numFmt w:val="decimal"/>
      <w:lvlText w:val="%1."/>
      <w:lvlJc w:val="left"/>
      <w:pPr>
        <w:ind w:left="3891" w:hanging="2190"/>
      </w:pPr>
      <w:rPr>
        <w:rFonts w:ascii="Courier New" w:hAnsi="Courier New" w:cs="Courier New" w:hint="default"/>
        <w:sz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731538C7"/>
    <w:multiLevelType w:val="hybridMultilevel"/>
    <w:tmpl w:val="4FCE2324"/>
    <w:lvl w:ilvl="0" w:tplc="AF76E47E">
      <w:start w:val="1"/>
      <w:numFmt w:val="bullet"/>
      <w:lvlText w:val=""/>
      <w:lvlJc w:val="left"/>
      <w:pPr>
        <w:tabs>
          <w:tab w:val="num" w:pos="1770"/>
        </w:tabs>
        <w:ind w:left="1770" w:hanging="360"/>
      </w:pPr>
      <w:rPr>
        <w:rFonts w:ascii="Symbol" w:eastAsia="Times New Roman" w:hAnsi="Symbol" w:cs="Times New Roman" w:hint="default"/>
      </w:rPr>
    </w:lvl>
    <w:lvl w:ilvl="1" w:tplc="04160003" w:tentative="1">
      <w:start w:val="1"/>
      <w:numFmt w:val="bullet"/>
      <w:lvlText w:val="o"/>
      <w:lvlJc w:val="left"/>
      <w:pPr>
        <w:tabs>
          <w:tab w:val="num" w:pos="2490"/>
        </w:tabs>
        <w:ind w:left="2490" w:hanging="360"/>
      </w:pPr>
      <w:rPr>
        <w:rFonts w:ascii="Courier New" w:hAnsi="Courier New" w:cs="Courier New" w:hint="default"/>
      </w:rPr>
    </w:lvl>
    <w:lvl w:ilvl="2" w:tplc="04160005" w:tentative="1">
      <w:start w:val="1"/>
      <w:numFmt w:val="bullet"/>
      <w:lvlText w:val=""/>
      <w:lvlJc w:val="left"/>
      <w:pPr>
        <w:tabs>
          <w:tab w:val="num" w:pos="3210"/>
        </w:tabs>
        <w:ind w:left="3210" w:hanging="360"/>
      </w:pPr>
      <w:rPr>
        <w:rFonts w:ascii="Wingdings" w:hAnsi="Wingdings" w:hint="default"/>
      </w:rPr>
    </w:lvl>
    <w:lvl w:ilvl="3" w:tplc="04160001" w:tentative="1">
      <w:start w:val="1"/>
      <w:numFmt w:val="bullet"/>
      <w:lvlText w:val=""/>
      <w:lvlJc w:val="left"/>
      <w:pPr>
        <w:tabs>
          <w:tab w:val="num" w:pos="3930"/>
        </w:tabs>
        <w:ind w:left="3930" w:hanging="360"/>
      </w:pPr>
      <w:rPr>
        <w:rFonts w:ascii="Symbol" w:hAnsi="Symbol" w:hint="default"/>
      </w:rPr>
    </w:lvl>
    <w:lvl w:ilvl="4" w:tplc="04160003" w:tentative="1">
      <w:start w:val="1"/>
      <w:numFmt w:val="bullet"/>
      <w:lvlText w:val="o"/>
      <w:lvlJc w:val="left"/>
      <w:pPr>
        <w:tabs>
          <w:tab w:val="num" w:pos="4650"/>
        </w:tabs>
        <w:ind w:left="4650" w:hanging="360"/>
      </w:pPr>
      <w:rPr>
        <w:rFonts w:ascii="Courier New" w:hAnsi="Courier New" w:cs="Courier New" w:hint="default"/>
      </w:rPr>
    </w:lvl>
    <w:lvl w:ilvl="5" w:tplc="04160005" w:tentative="1">
      <w:start w:val="1"/>
      <w:numFmt w:val="bullet"/>
      <w:lvlText w:val=""/>
      <w:lvlJc w:val="left"/>
      <w:pPr>
        <w:tabs>
          <w:tab w:val="num" w:pos="5370"/>
        </w:tabs>
        <w:ind w:left="5370" w:hanging="360"/>
      </w:pPr>
      <w:rPr>
        <w:rFonts w:ascii="Wingdings" w:hAnsi="Wingdings" w:hint="default"/>
      </w:rPr>
    </w:lvl>
    <w:lvl w:ilvl="6" w:tplc="04160001" w:tentative="1">
      <w:start w:val="1"/>
      <w:numFmt w:val="bullet"/>
      <w:lvlText w:val=""/>
      <w:lvlJc w:val="left"/>
      <w:pPr>
        <w:tabs>
          <w:tab w:val="num" w:pos="6090"/>
        </w:tabs>
        <w:ind w:left="6090" w:hanging="360"/>
      </w:pPr>
      <w:rPr>
        <w:rFonts w:ascii="Symbol" w:hAnsi="Symbol" w:hint="default"/>
      </w:rPr>
    </w:lvl>
    <w:lvl w:ilvl="7" w:tplc="04160003" w:tentative="1">
      <w:start w:val="1"/>
      <w:numFmt w:val="bullet"/>
      <w:lvlText w:val="o"/>
      <w:lvlJc w:val="left"/>
      <w:pPr>
        <w:tabs>
          <w:tab w:val="num" w:pos="6810"/>
        </w:tabs>
        <w:ind w:left="6810" w:hanging="360"/>
      </w:pPr>
      <w:rPr>
        <w:rFonts w:ascii="Courier New" w:hAnsi="Courier New" w:cs="Courier New" w:hint="default"/>
      </w:rPr>
    </w:lvl>
    <w:lvl w:ilvl="8" w:tplc="04160005" w:tentative="1">
      <w:start w:val="1"/>
      <w:numFmt w:val="bullet"/>
      <w:lvlText w:val=""/>
      <w:lvlJc w:val="left"/>
      <w:pPr>
        <w:tabs>
          <w:tab w:val="num" w:pos="7530"/>
        </w:tabs>
        <w:ind w:left="7530" w:hanging="360"/>
      </w:pPr>
      <w:rPr>
        <w:rFonts w:ascii="Wingdings" w:hAnsi="Wingdings" w:hint="default"/>
      </w:rPr>
    </w:lvl>
  </w:abstractNum>
  <w:abstractNum w:abstractNumId="5">
    <w:nsid w:val="76F15110"/>
    <w:multiLevelType w:val="hybridMultilevel"/>
    <w:tmpl w:val="60447532"/>
    <w:lvl w:ilvl="0" w:tplc="2E747AAA">
      <w:start w:val="1"/>
      <w:numFmt w:val="lowerRoman"/>
      <w:lvlText w:val="(%1)"/>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7024BD0"/>
    <w:multiLevelType w:val="hybridMultilevel"/>
    <w:tmpl w:val="1AA23D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51"/>
    <w:rsid w:val="00003B88"/>
    <w:rsid w:val="00015E54"/>
    <w:rsid w:val="0002580A"/>
    <w:rsid w:val="00041B19"/>
    <w:rsid w:val="00041F95"/>
    <w:rsid w:val="00066DC6"/>
    <w:rsid w:val="000704ED"/>
    <w:rsid w:val="00082936"/>
    <w:rsid w:val="00087EB7"/>
    <w:rsid w:val="0009673E"/>
    <w:rsid w:val="0009758E"/>
    <w:rsid w:val="000A6FF2"/>
    <w:rsid w:val="000A7B8D"/>
    <w:rsid w:val="000B7791"/>
    <w:rsid w:val="000C2994"/>
    <w:rsid w:val="000D1FA2"/>
    <w:rsid w:val="000E112F"/>
    <w:rsid w:val="000E1DA0"/>
    <w:rsid w:val="0011350A"/>
    <w:rsid w:val="0014246F"/>
    <w:rsid w:val="001517E6"/>
    <w:rsid w:val="00152AF1"/>
    <w:rsid w:val="00154FD3"/>
    <w:rsid w:val="001557D2"/>
    <w:rsid w:val="00177B2E"/>
    <w:rsid w:val="001C2FD1"/>
    <w:rsid w:val="001D09F8"/>
    <w:rsid w:val="001D7663"/>
    <w:rsid w:val="001E0A9A"/>
    <w:rsid w:val="001E2FBA"/>
    <w:rsid w:val="001E6E1C"/>
    <w:rsid w:val="00207A91"/>
    <w:rsid w:val="0021060F"/>
    <w:rsid w:val="00213DD6"/>
    <w:rsid w:val="0022019B"/>
    <w:rsid w:val="002228BE"/>
    <w:rsid w:val="00223895"/>
    <w:rsid w:val="00241AD0"/>
    <w:rsid w:val="00242848"/>
    <w:rsid w:val="00252D03"/>
    <w:rsid w:val="00263879"/>
    <w:rsid w:val="00267DB3"/>
    <w:rsid w:val="002772E5"/>
    <w:rsid w:val="00292464"/>
    <w:rsid w:val="002B48E4"/>
    <w:rsid w:val="002B5701"/>
    <w:rsid w:val="002C07A8"/>
    <w:rsid w:val="002C2C62"/>
    <w:rsid w:val="002C4570"/>
    <w:rsid w:val="002D081D"/>
    <w:rsid w:val="002D3243"/>
    <w:rsid w:val="002E0691"/>
    <w:rsid w:val="002E275B"/>
    <w:rsid w:val="00301F8C"/>
    <w:rsid w:val="00305E2A"/>
    <w:rsid w:val="00334C63"/>
    <w:rsid w:val="00340E1A"/>
    <w:rsid w:val="003424D7"/>
    <w:rsid w:val="003430BC"/>
    <w:rsid w:val="003458C9"/>
    <w:rsid w:val="00382413"/>
    <w:rsid w:val="003842F4"/>
    <w:rsid w:val="003B58C9"/>
    <w:rsid w:val="003C33FA"/>
    <w:rsid w:val="003E07DA"/>
    <w:rsid w:val="003E71F6"/>
    <w:rsid w:val="00403DA9"/>
    <w:rsid w:val="00407EA6"/>
    <w:rsid w:val="00420751"/>
    <w:rsid w:val="00421809"/>
    <w:rsid w:val="00421A61"/>
    <w:rsid w:val="00422EF3"/>
    <w:rsid w:val="00426852"/>
    <w:rsid w:val="00431A52"/>
    <w:rsid w:val="004416F7"/>
    <w:rsid w:val="00443CE0"/>
    <w:rsid w:val="00453454"/>
    <w:rsid w:val="00457621"/>
    <w:rsid w:val="00460BB8"/>
    <w:rsid w:val="0046196E"/>
    <w:rsid w:val="00463952"/>
    <w:rsid w:val="00493EA9"/>
    <w:rsid w:val="004A478B"/>
    <w:rsid w:val="004A59CA"/>
    <w:rsid w:val="004C10A4"/>
    <w:rsid w:val="004D6ED2"/>
    <w:rsid w:val="004E37D9"/>
    <w:rsid w:val="004E4DAC"/>
    <w:rsid w:val="00510CE7"/>
    <w:rsid w:val="00512136"/>
    <w:rsid w:val="00515ED6"/>
    <w:rsid w:val="005242BB"/>
    <w:rsid w:val="00525A3B"/>
    <w:rsid w:val="00530833"/>
    <w:rsid w:val="00531679"/>
    <w:rsid w:val="00556739"/>
    <w:rsid w:val="00556E38"/>
    <w:rsid w:val="0058514C"/>
    <w:rsid w:val="005C5F56"/>
    <w:rsid w:val="005D0252"/>
    <w:rsid w:val="005E5336"/>
    <w:rsid w:val="005E736F"/>
    <w:rsid w:val="005F4CAF"/>
    <w:rsid w:val="005F678D"/>
    <w:rsid w:val="00603B82"/>
    <w:rsid w:val="006200FD"/>
    <w:rsid w:val="006339C6"/>
    <w:rsid w:val="00644F99"/>
    <w:rsid w:val="006460AA"/>
    <w:rsid w:val="006534FF"/>
    <w:rsid w:val="00661E33"/>
    <w:rsid w:val="00664502"/>
    <w:rsid w:val="00664B92"/>
    <w:rsid w:val="00673F44"/>
    <w:rsid w:val="00680520"/>
    <w:rsid w:val="00686A46"/>
    <w:rsid w:val="00693216"/>
    <w:rsid w:val="006B2577"/>
    <w:rsid w:val="006C0010"/>
    <w:rsid w:val="006C307F"/>
    <w:rsid w:val="006C423D"/>
    <w:rsid w:val="006D0F57"/>
    <w:rsid w:val="006E534B"/>
    <w:rsid w:val="006F5530"/>
    <w:rsid w:val="007028E0"/>
    <w:rsid w:val="00702E63"/>
    <w:rsid w:val="00704DBA"/>
    <w:rsid w:val="00712AFC"/>
    <w:rsid w:val="00716FA9"/>
    <w:rsid w:val="00717D2C"/>
    <w:rsid w:val="007261A9"/>
    <w:rsid w:val="007455E5"/>
    <w:rsid w:val="00751A3B"/>
    <w:rsid w:val="0079374E"/>
    <w:rsid w:val="00796BA3"/>
    <w:rsid w:val="007A5791"/>
    <w:rsid w:val="007B38A0"/>
    <w:rsid w:val="007C5041"/>
    <w:rsid w:val="007E4CD6"/>
    <w:rsid w:val="007E608F"/>
    <w:rsid w:val="007E797B"/>
    <w:rsid w:val="008032D7"/>
    <w:rsid w:val="00803AD1"/>
    <w:rsid w:val="00831DB6"/>
    <w:rsid w:val="00837E1B"/>
    <w:rsid w:val="00862481"/>
    <w:rsid w:val="008807AB"/>
    <w:rsid w:val="008A7B5D"/>
    <w:rsid w:val="008C2F5B"/>
    <w:rsid w:val="008D37C8"/>
    <w:rsid w:val="008E09CE"/>
    <w:rsid w:val="008E2399"/>
    <w:rsid w:val="008F2BFE"/>
    <w:rsid w:val="00920A31"/>
    <w:rsid w:val="009239E3"/>
    <w:rsid w:val="009273EF"/>
    <w:rsid w:val="0095582F"/>
    <w:rsid w:val="00961D48"/>
    <w:rsid w:val="00980D6E"/>
    <w:rsid w:val="009821D0"/>
    <w:rsid w:val="009A591E"/>
    <w:rsid w:val="009A75F9"/>
    <w:rsid w:val="009C38F5"/>
    <w:rsid w:val="009C4611"/>
    <w:rsid w:val="009C61C3"/>
    <w:rsid w:val="009D0250"/>
    <w:rsid w:val="009F400E"/>
    <w:rsid w:val="00A2155E"/>
    <w:rsid w:val="00A247D2"/>
    <w:rsid w:val="00A354C6"/>
    <w:rsid w:val="00A4158B"/>
    <w:rsid w:val="00A43C1C"/>
    <w:rsid w:val="00A44A66"/>
    <w:rsid w:val="00A7601E"/>
    <w:rsid w:val="00A76DCE"/>
    <w:rsid w:val="00A826EB"/>
    <w:rsid w:val="00A85543"/>
    <w:rsid w:val="00A85722"/>
    <w:rsid w:val="00AA297E"/>
    <w:rsid w:val="00AB463B"/>
    <w:rsid w:val="00AC039A"/>
    <w:rsid w:val="00AC3F50"/>
    <w:rsid w:val="00AD49E5"/>
    <w:rsid w:val="00AD5C97"/>
    <w:rsid w:val="00AE4576"/>
    <w:rsid w:val="00B0485D"/>
    <w:rsid w:val="00B1046F"/>
    <w:rsid w:val="00B10EB0"/>
    <w:rsid w:val="00B11AE5"/>
    <w:rsid w:val="00B23988"/>
    <w:rsid w:val="00B35B40"/>
    <w:rsid w:val="00B55809"/>
    <w:rsid w:val="00B633BF"/>
    <w:rsid w:val="00B80990"/>
    <w:rsid w:val="00B83590"/>
    <w:rsid w:val="00B84330"/>
    <w:rsid w:val="00BA7764"/>
    <w:rsid w:val="00BC14E0"/>
    <w:rsid w:val="00BD60CE"/>
    <w:rsid w:val="00BE21C3"/>
    <w:rsid w:val="00BE28C8"/>
    <w:rsid w:val="00BE2E7C"/>
    <w:rsid w:val="00BE3B61"/>
    <w:rsid w:val="00BF0B5B"/>
    <w:rsid w:val="00C03C61"/>
    <w:rsid w:val="00C069C6"/>
    <w:rsid w:val="00C125F2"/>
    <w:rsid w:val="00C23C1E"/>
    <w:rsid w:val="00C323A2"/>
    <w:rsid w:val="00C56014"/>
    <w:rsid w:val="00C618AA"/>
    <w:rsid w:val="00C67F62"/>
    <w:rsid w:val="00C744E4"/>
    <w:rsid w:val="00C829E4"/>
    <w:rsid w:val="00C90795"/>
    <w:rsid w:val="00CB7D57"/>
    <w:rsid w:val="00CE6BF0"/>
    <w:rsid w:val="00D00A49"/>
    <w:rsid w:val="00D24BA6"/>
    <w:rsid w:val="00D3639F"/>
    <w:rsid w:val="00D36522"/>
    <w:rsid w:val="00D428D9"/>
    <w:rsid w:val="00D47676"/>
    <w:rsid w:val="00D47B79"/>
    <w:rsid w:val="00D5022A"/>
    <w:rsid w:val="00D57262"/>
    <w:rsid w:val="00D62AE7"/>
    <w:rsid w:val="00D63855"/>
    <w:rsid w:val="00D63CD4"/>
    <w:rsid w:val="00D90B77"/>
    <w:rsid w:val="00D97590"/>
    <w:rsid w:val="00D976C3"/>
    <w:rsid w:val="00DA1D20"/>
    <w:rsid w:val="00DB200F"/>
    <w:rsid w:val="00DB6A00"/>
    <w:rsid w:val="00DF77B7"/>
    <w:rsid w:val="00E0666E"/>
    <w:rsid w:val="00E06FF5"/>
    <w:rsid w:val="00E126CC"/>
    <w:rsid w:val="00E306C8"/>
    <w:rsid w:val="00E30E23"/>
    <w:rsid w:val="00E31258"/>
    <w:rsid w:val="00E32284"/>
    <w:rsid w:val="00E35600"/>
    <w:rsid w:val="00E42A06"/>
    <w:rsid w:val="00E5171A"/>
    <w:rsid w:val="00E53F73"/>
    <w:rsid w:val="00E55264"/>
    <w:rsid w:val="00E61922"/>
    <w:rsid w:val="00E63279"/>
    <w:rsid w:val="00E71401"/>
    <w:rsid w:val="00E73174"/>
    <w:rsid w:val="00E73988"/>
    <w:rsid w:val="00E74EB4"/>
    <w:rsid w:val="00E750C6"/>
    <w:rsid w:val="00E96BBD"/>
    <w:rsid w:val="00EA62E3"/>
    <w:rsid w:val="00EA7E1C"/>
    <w:rsid w:val="00EB07B1"/>
    <w:rsid w:val="00EC21F6"/>
    <w:rsid w:val="00EC47B9"/>
    <w:rsid w:val="00EC7F17"/>
    <w:rsid w:val="00ED2F2B"/>
    <w:rsid w:val="00ED570A"/>
    <w:rsid w:val="00ED5EE3"/>
    <w:rsid w:val="00EE10AD"/>
    <w:rsid w:val="00EF1D89"/>
    <w:rsid w:val="00F0652B"/>
    <w:rsid w:val="00F117DC"/>
    <w:rsid w:val="00F15F3A"/>
    <w:rsid w:val="00F23F7E"/>
    <w:rsid w:val="00F42207"/>
    <w:rsid w:val="00F42F01"/>
    <w:rsid w:val="00F50BA1"/>
    <w:rsid w:val="00F52CDC"/>
    <w:rsid w:val="00F52F09"/>
    <w:rsid w:val="00F60017"/>
    <w:rsid w:val="00F75AED"/>
    <w:rsid w:val="00F76ABA"/>
    <w:rsid w:val="00F85684"/>
    <w:rsid w:val="00F8679C"/>
    <w:rsid w:val="00F93185"/>
    <w:rsid w:val="00FA0719"/>
    <w:rsid w:val="00FA691E"/>
    <w:rsid w:val="00FB2F54"/>
    <w:rsid w:val="00FD4357"/>
    <w:rsid w:val="00FE464F"/>
    <w:rsid w:val="00FE4D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9"/>
  </w:style>
  <w:style w:type="paragraph" w:styleId="Ttulo1">
    <w:name w:val="heading 1"/>
    <w:basedOn w:val="Normal"/>
    <w:next w:val="Normal"/>
    <w:qFormat/>
    <w:rsid w:val="00531679"/>
    <w:pPr>
      <w:keepNext/>
      <w:jc w:val="both"/>
      <w:outlineLvl w:val="0"/>
    </w:pPr>
    <w:rPr>
      <w:rFonts w:ascii="Arial" w:hAnsi="Arial"/>
      <w:sz w:val="28"/>
    </w:rPr>
  </w:style>
  <w:style w:type="paragraph" w:styleId="Ttulo2">
    <w:name w:val="heading 2"/>
    <w:basedOn w:val="Normal"/>
    <w:next w:val="Normal"/>
    <w:qFormat/>
    <w:rsid w:val="00531679"/>
    <w:pPr>
      <w:keepNext/>
      <w:jc w:val="center"/>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3C1C"/>
    <w:pPr>
      <w:tabs>
        <w:tab w:val="center" w:pos="4419"/>
        <w:tab w:val="right" w:pos="8838"/>
      </w:tabs>
    </w:pPr>
  </w:style>
  <w:style w:type="paragraph" w:styleId="Rodap">
    <w:name w:val="footer"/>
    <w:aliases w:val="Char"/>
    <w:basedOn w:val="Normal"/>
    <w:link w:val="RodapChar"/>
    <w:rsid w:val="00A43C1C"/>
    <w:pPr>
      <w:tabs>
        <w:tab w:val="center" w:pos="4419"/>
        <w:tab w:val="right" w:pos="8838"/>
      </w:tabs>
    </w:pPr>
  </w:style>
  <w:style w:type="paragraph" w:customStyle="1" w:styleId="AutoCorreo">
    <w:name w:val="AutoCorreção"/>
    <w:rsid w:val="00A43C1C"/>
    <w:rPr>
      <w:sz w:val="24"/>
      <w:szCs w:val="24"/>
    </w:rPr>
  </w:style>
  <w:style w:type="character" w:styleId="Hyperlink">
    <w:name w:val="Hyperlink"/>
    <w:basedOn w:val="Fontepargpadro"/>
    <w:rsid w:val="00A43C1C"/>
    <w:rPr>
      <w:color w:val="0000FF"/>
      <w:u w:val="single"/>
    </w:rPr>
  </w:style>
  <w:style w:type="paragraph" w:styleId="Textodenotaderodap">
    <w:name w:val="footnote text"/>
    <w:basedOn w:val="Normal"/>
    <w:link w:val="TextodenotaderodapChar"/>
    <w:uiPriority w:val="99"/>
    <w:rsid w:val="00E71401"/>
  </w:style>
  <w:style w:type="character" w:styleId="Refdenotaderodap">
    <w:name w:val="footnote reference"/>
    <w:basedOn w:val="Fontepargpadro"/>
    <w:semiHidden/>
    <w:rsid w:val="00E71401"/>
    <w:rPr>
      <w:vertAlign w:val="superscript"/>
    </w:rPr>
  </w:style>
  <w:style w:type="paragraph" w:styleId="Textodebalo">
    <w:name w:val="Balloon Text"/>
    <w:basedOn w:val="Normal"/>
    <w:semiHidden/>
    <w:rsid w:val="0011350A"/>
    <w:rPr>
      <w:rFonts w:ascii="Tahoma" w:hAnsi="Tahoma" w:cs="Tahoma"/>
      <w:sz w:val="16"/>
      <w:szCs w:val="16"/>
    </w:rPr>
  </w:style>
  <w:style w:type="character" w:styleId="Forte">
    <w:name w:val="Strong"/>
    <w:basedOn w:val="Fontepargpadro"/>
    <w:uiPriority w:val="22"/>
    <w:qFormat/>
    <w:rsid w:val="00E63279"/>
    <w:rPr>
      <w:b/>
      <w:bCs/>
    </w:rPr>
  </w:style>
  <w:style w:type="character" w:customStyle="1" w:styleId="hl">
    <w:name w:val="hl"/>
    <w:basedOn w:val="Fontepargpadro"/>
    <w:rsid w:val="00A76DCE"/>
  </w:style>
  <w:style w:type="character" w:customStyle="1" w:styleId="RodapChar">
    <w:name w:val="Rodapé Char"/>
    <w:aliases w:val="Char Char"/>
    <w:basedOn w:val="Fontepargpadro"/>
    <w:link w:val="Rodap"/>
    <w:locked/>
    <w:rsid w:val="00693216"/>
  </w:style>
  <w:style w:type="paragraph" w:styleId="PargrafodaLista">
    <w:name w:val="List Paragraph"/>
    <w:basedOn w:val="Normal"/>
    <w:uiPriority w:val="34"/>
    <w:qFormat/>
    <w:rsid w:val="007E608F"/>
    <w:pPr>
      <w:spacing w:after="200" w:line="276" w:lineRule="auto"/>
      <w:ind w:left="720"/>
      <w:contextualSpacing/>
    </w:pPr>
    <w:rPr>
      <w:rFonts w:ascii="Calibri" w:hAnsi="Calibri"/>
      <w:sz w:val="22"/>
      <w:szCs w:val="22"/>
    </w:rPr>
  </w:style>
  <w:style w:type="character" w:customStyle="1" w:styleId="TextodenotaderodapChar">
    <w:name w:val="Texto de nota de rodapé Char"/>
    <w:link w:val="Textodenotaderodap"/>
    <w:uiPriority w:val="99"/>
    <w:rsid w:val="00B84330"/>
  </w:style>
  <w:style w:type="character" w:customStyle="1" w:styleId="Caracteresdenotaderodap">
    <w:name w:val="Caracteres de nota de rodapé"/>
    <w:basedOn w:val="Fontepargpadro"/>
    <w:rsid w:val="00B843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679"/>
  </w:style>
  <w:style w:type="paragraph" w:styleId="Ttulo1">
    <w:name w:val="heading 1"/>
    <w:basedOn w:val="Normal"/>
    <w:next w:val="Normal"/>
    <w:qFormat/>
    <w:rsid w:val="00531679"/>
    <w:pPr>
      <w:keepNext/>
      <w:jc w:val="both"/>
      <w:outlineLvl w:val="0"/>
    </w:pPr>
    <w:rPr>
      <w:rFonts w:ascii="Arial" w:hAnsi="Arial"/>
      <w:sz w:val="28"/>
    </w:rPr>
  </w:style>
  <w:style w:type="paragraph" w:styleId="Ttulo2">
    <w:name w:val="heading 2"/>
    <w:basedOn w:val="Normal"/>
    <w:next w:val="Normal"/>
    <w:qFormat/>
    <w:rsid w:val="00531679"/>
    <w:pPr>
      <w:keepNext/>
      <w:jc w:val="center"/>
      <w:outlineLvl w:val="1"/>
    </w:pPr>
    <w:rPr>
      <w:rFonts w:ascii="Arial" w:hAnsi="Arial"/>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3C1C"/>
    <w:pPr>
      <w:tabs>
        <w:tab w:val="center" w:pos="4419"/>
        <w:tab w:val="right" w:pos="8838"/>
      </w:tabs>
    </w:pPr>
  </w:style>
  <w:style w:type="paragraph" w:styleId="Rodap">
    <w:name w:val="footer"/>
    <w:aliases w:val="Char"/>
    <w:basedOn w:val="Normal"/>
    <w:link w:val="RodapChar"/>
    <w:rsid w:val="00A43C1C"/>
    <w:pPr>
      <w:tabs>
        <w:tab w:val="center" w:pos="4419"/>
        <w:tab w:val="right" w:pos="8838"/>
      </w:tabs>
    </w:pPr>
  </w:style>
  <w:style w:type="paragraph" w:customStyle="1" w:styleId="AutoCorreo">
    <w:name w:val="AutoCorreção"/>
    <w:rsid w:val="00A43C1C"/>
    <w:rPr>
      <w:sz w:val="24"/>
      <w:szCs w:val="24"/>
    </w:rPr>
  </w:style>
  <w:style w:type="character" w:styleId="Hyperlink">
    <w:name w:val="Hyperlink"/>
    <w:basedOn w:val="Fontepargpadro"/>
    <w:rsid w:val="00A43C1C"/>
    <w:rPr>
      <w:color w:val="0000FF"/>
      <w:u w:val="single"/>
    </w:rPr>
  </w:style>
  <w:style w:type="paragraph" w:styleId="Textodenotaderodap">
    <w:name w:val="footnote text"/>
    <w:basedOn w:val="Normal"/>
    <w:link w:val="TextodenotaderodapChar"/>
    <w:uiPriority w:val="99"/>
    <w:rsid w:val="00E71401"/>
  </w:style>
  <w:style w:type="character" w:styleId="Refdenotaderodap">
    <w:name w:val="footnote reference"/>
    <w:basedOn w:val="Fontepargpadro"/>
    <w:semiHidden/>
    <w:rsid w:val="00E71401"/>
    <w:rPr>
      <w:vertAlign w:val="superscript"/>
    </w:rPr>
  </w:style>
  <w:style w:type="paragraph" w:styleId="Textodebalo">
    <w:name w:val="Balloon Text"/>
    <w:basedOn w:val="Normal"/>
    <w:semiHidden/>
    <w:rsid w:val="0011350A"/>
    <w:rPr>
      <w:rFonts w:ascii="Tahoma" w:hAnsi="Tahoma" w:cs="Tahoma"/>
      <w:sz w:val="16"/>
      <w:szCs w:val="16"/>
    </w:rPr>
  </w:style>
  <w:style w:type="character" w:styleId="Forte">
    <w:name w:val="Strong"/>
    <w:basedOn w:val="Fontepargpadro"/>
    <w:uiPriority w:val="22"/>
    <w:qFormat/>
    <w:rsid w:val="00E63279"/>
    <w:rPr>
      <w:b/>
      <w:bCs/>
    </w:rPr>
  </w:style>
  <w:style w:type="character" w:customStyle="1" w:styleId="hl">
    <w:name w:val="hl"/>
    <w:basedOn w:val="Fontepargpadro"/>
    <w:rsid w:val="00A76DCE"/>
  </w:style>
  <w:style w:type="character" w:customStyle="1" w:styleId="RodapChar">
    <w:name w:val="Rodapé Char"/>
    <w:aliases w:val="Char Char"/>
    <w:basedOn w:val="Fontepargpadro"/>
    <w:link w:val="Rodap"/>
    <w:locked/>
    <w:rsid w:val="00693216"/>
  </w:style>
  <w:style w:type="paragraph" w:styleId="PargrafodaLista">
    <w:name w:val="List Paragraph"/>
    <w:basedOn w:val="Normal"/>
    <w:uiPriority w:val="34"/>
    <w:qFormat/>
    <w:rsid w:val="007E608F"/>
    <w:pPr>
      <w:spacing w:after="200" w:line="276" w:lineRule="auto"/>
      <w:ind w:left="720"/>
      <w:contextualSpacing/>
    </w:pPr>
    <w:rPr>
      <w:rFonts w:ascii="Calibri" w:hAnsi="Calibri"/>
      <w:sz w:val="22"/>
      <w:szCs w:val="22"/>
    </w:rPr>
  </w:style>
  <w:style w:type="character" w:customStyle="1" w:styleId="TextodenotaderodapChar">
    <w:name w:val="Texto de nota de rodapé Char"/>
    <w:link w:val="Textodenotaderodap"/>
    <w:uiPriority w:val="99"/>
    <w:rsid w:val="00B84330"/>
  </w:style>
  <w:style w:type="character" w:customStyle="1" w:styleId="Caracteresdenotaderodap">
    <w:name w:val="Caracteres de nota de rodapé"/>
    <w:basedOn w:val="Fontepargpadro"/>
    <w:rsid w:val="00B84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2305</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Processo nº 32413106            Rubrica ___________       Fls</vt:lpstr>
    </vt:vector>
  </TitlesOfParts>
  <Company>Procuradoria Geral do Estado do Espirito Santo</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nº 32413106            Rubrica ___________       Fls</dc:title>
  <dc:creator>Raphael Trés da Hora</dc:creator>
  <cp:lastModifiedBy>Francine Kampff Pimentel</cp:lastModifiedBy>
  <cp:revision>2</cp:revision>
  <cp:lastPrinted>2011-11-04T13:36:00Z</cp:lastPrinted>
  <dcterms:created xsi:type="dcterms:W3CDTF">2014-07-24T19:38:00Z</dcterms:created>
  <dcterms:modified xsi:type="dcterms:W3CDTF">2014-07-24T19:38:00Z</dcterms:modified>
</cp:coreProperties>
</file>